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15" w:rsidRPr="00497EDE" w:rsidRDefault="001E4115" w:rsidP="001E4115">
      <w:pPr>
        <w:pStyle w:val="a3"/>
        <w:jc w:val="center"/>
        <w:rPr>
          <w:color w:val="FF0000"/>
          <w:sz w:val="28"/>
        </w:rPr>
      </w:pPr>
      <w:r w:rsidRPr="00497EDE">
        <w:rPr>
          <w:b/>
          <w:bCs/>
          <w:color w:val="FF0000"/>
          <w:sz w:val="28"/>
        </w:rPr>
        <w:t>Информационные материалы Всероссийская социальная Кампания по безопасности дорожного движения "Сложности перехода"</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Старт кампании «Сложности перехода» дан в Свердловской области; мероприятия будут проходить в Екатеринбурге в течение трех недель. В пресс-конференции, анонсирующей старт кампании, приняли участие первый заместитель губернатора Свердловской области Алексей Орлов и заместитель начальника ГУОБДД МВД России Сергей Добряков.</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 xml:space="preserve">Алексей Орлов отметил важность профилактической работы, подчеркнув, что силами только Госавтоинспекции решить проблему дорожно-транспортного травматизма невозможно, поэтому в </w:t>
      </w:r>
      <w:proofErr w:type="gramStart"/>
      <w:r w:rsidRPr="00497EDE">
        <w:rPr>
          <w:color w:val="1D1D1D"/>
        </w:rPr>
        <w:t>работу</w:t>
      </w:r>
      <w:proofErr w:type="gramEnd"/>
      <w:r w:rsidRPr="00497EDE">
        <w:rPr>
          <w:color w:val="1D1D1D"/>
        </w:rPr>
        <w:t xml:space="preserve"> активно включены органы государственной власти и общественные организации. Для Свердловской области проблема безопасности пешеходов также актуальна, подчеркнул заместитель губернатора, - в прошлом году в регионе произошло 137 ДТП с участием детей-пешеходов, 6 детей погибли, 133 получили травмы. Всего за год в Свердловской области произошло 911 наездов на пешеходов, 137 человек погибли.</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 xml:space="preserve">Снижение дорожно-транспортного травматизма достигается не только за счет профилактики, но и за счет инфраструктурных изменений, и сегодня в регионе реализуется целевая программа по безопасности дорожного движения. Так, к настоящему времени вблизи порядка 70% школ установлены пешеходные переходы согласно требованиям </w:t>
      </w:r>
      <w:proofErr w:type="spellStart"/>
      <w:r w:rsidRPr="00497EDE">
        <w:rPr>
          <w:color w:val="1D1D1D"/>
        </w:rPr>
        <w:t>ГОСТа</w:t>
      </w:r>
      <w:proofErr w:type="spellEnd"/>
      <w:r w:rsidRPr="00497EDE">
        <w:rPr>
          <w:color w:val="1D1D1D"/>
        </w:rPr>
        <w:t>.</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 xml:space="preserve">Организаторы проекта отметили, что важной частью при разработке кампании и подведению ее итогов являются социологические исследования. В Свердловской области также был проведен опрос среди студенчества, в котором приняла участие практически тысяча респондентов. Соцопрос определил основные причины, по которым люди не доходят до пешеходных переходов: 40% респондентов отметили, что «пешеходный переход слишком далеко», 43% - «там, где я это делаю, пешеходных переходов просто нет». Также 14% заметили, что </w:t>
      </w:r>
      <w:proofErr w:type="gramStart"/>
      <w:r w:rsidRPr="00497EDE">
        <w:rPr>
          <w:color w:val="1D1D1D"/>
        </w:rPr>
        <w:t>они</w:t>
      </w:r>
      <w:proofErr w:type="gramEnd"/>
      <w:r w:rsidRPr="00497EDE">
        <w:rPr>
          <w:color w:val="1D1D1D"/>
        </w:rPr>
        <w:t xml:space="preserve"> таким образом сокращают путь.</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Поскольку инфраструктура является важной составляющей дорожной безопасности, еще одним инструментом, который был создан в рамках кампании, стал сервис «Активный пешеход – безопасный переход», призванный оценить текущее состояние пешеходных переходов и обратить внимание на небезопасные или неправильно оборудованные «зебры». Все заявки, поданные активными гражданами, будут переданы в администрации регионов. На сегодняшний день из 7 регионов поступило порядка 50 заявок.</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Проект «Сложности перехода» реализуется Госавтоинспекцией МВД России и Российским союзом страховщиков при поддержке экспертного центра «Движение без опасности». РСА на протяжении последних десяти лет совместно с Госавтоинспекцией и экспертным центром ведет долгосрочную работу по повышению уровня безопасности дорожного движения, проводя широкомасштабные социальные кампании на территории Российской Федерации. На данный момент профилактические мероприятия прошли в 2/3 регионов России, задействовано более 100 городов, распространены материалы более чем в 500 вузах, 1,5 тысячах детских садов и школ.</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Заместитель руководителя российской Госавтоинспекции Сергей Добряков подчеркнул, что снижение аварийности является одной из важнейших задач государства и общества, и сегодня можно видеть позитивные промежуточные результаты. Если в 2004 году на российских дорогах погибли свыше 34 тысяч человек, то в 2016 число жертв ДТП сократилось до 20 тысяч. Тем не менее, безопасность на дорогах остается актуальной проблемой. «К сожалению, по данным анализа аварийности, каждый третий наезд на пешехода происходит на пешеходном переходе, то есть именно в тех местах, где должны быть созданы условия для безопасного перехода проезжей части. В прошлом году на пешеходных переходах погибли 1024 человека», - сказал Сергей Добряков.</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lastRenderedPageBreak/>
        <w:t>Нарушения имеются как со стороны водителей, так и со стороны пешеходов, – это переход вне пешеходного перехода, игнорирование подземного перехода, внезапный выход на дорогу из-за припаркованных машин. Поэтому кампания «Сложности перехода» направлена и на водителей, и на пешеходов, а именно - учит взаимодействию этих участников дорожного движения друг с другом.</w:t>
      </w:r>
    </w:p>
    <w:p w:rsidR="001E4115" w:rsidRPr="00497EDE" w:rsidRDefault="001E4115" w:rsidP="001E4115">
      <w:pPr>
        <w:pStyle w:val="a3"/>
        <w:spacing w:before="0" w:beforeAutospacing="0" w:after="0" w:afterAutospacing="0"/>
        <w:ind w:firstLine="600"/>
        <w:jc w:val="both"/>
        <w:textAlignment w:val="baseline"/>
        <w:rPr>
          <w:color w:val="1D1D1D"/>
        </w:rPr>
      </w:pPr>
      <w:r w:rsidRPr="00497EDE">
        <w:rPr>
          <w:color w:val="1D1D1D"/>
        </w:rPr>
        <w:t>Свою поддержку кампании «Сложности перехода» в Свердловской области также выразили представители органов государственной власти, общественные деятели, известные люди региона. В их числе глава Екатеринбурга, уполномоченный по правам ребенка в регионе, участники шоу «Уральские пельмени», представители футбольного клуба «Урал», а также актеры и журналисты.</w:t>
      </w:r>
    </w:p>
    <w:p w:rsidR="001E4115" w:rsidRDefault="001E4115" w:rsidP="001E4115">
      <w:pPr>
        <w:pStyle w:val="z-"/>
      </w:pPr>
      <w:r>
        <w:t>Конец формы</w:t>
      </w:r>
    </w:p>
    <w:p w:rsidR="001E4115" w:rsidRDefault="001E4115" w:rsidP="001E4115">
      <w:pPr>
        <w:pStyle w:val="z-"/>
      </w:pPr>
      <w:r>
        <w:t>Конец формы</w:t>
      </w:r>
    </w:p>
    <w:p w:rsidR="001E4115" w:rsidRDefault="001E4115" w:rsidP="001E4115">
      <w:pPr>
        <w:spacing w:after="0" w:line="240" w:lineRule="auto"/>
        <w:jc w:val="both"/>
        <w:rPr>
          <w:rFonts w:ascii="Times New Roman" w:eastAsia="Times New Roman" w:hAnsi="Times New Roman" w:cs="Times New Roman"/>
          <w:sz w:val="24"/>
          <w:szCs w:val="20"/>
        </w:rPr>
      </w:pPr>
    </w:p>
    <w:p w:rsidR="001E4115" w:rsidRPr="0098702D" w:rsidRDefault="001E4115" w:rsidP="001E4115">
      <w:pPr>
        <w:spacing w:after="0" w:line="240" w:lineRule="auto"/>
        <w:jc w:val="both"/>
        <w:rPr>
          <w:rFonts w:ascii="Times New Roman" w:eastAsia="Times New Roman" w:hAnsi="Times New Roman" w:cs="Times New Roman"/>
          <w:b/>
          <w:i/>
          <w:sz w:val="32"/>
          <w:szCs w:val="24"/>
        </w:rPr>
      </w:pPr>
      <w:r w:rsidRPr="0098702D">
        <w:rPr>
          <w:rFonts w:ascii="Times New Roman" w:eastAsia="Times New Roman" w:hAnsi="Times New Roman" w:cs="Times New Roman"/>
          <w:b/>
          <w:i/>
          <w:sz w:val="24"/>
          <w:szCs w:val="20"/>
        </w:rPr>
        <w:t xml:space="preserve">Примерами таких ошибок со стороны водителей являются: </w:t>
      </w:r>
    </w:p>
    <w:p w:rsidR="001E4115" w:rsidRPr="0098702D" w:rsidRDefault="001E4115" w:rsidP="001E4115">
      <w:pPr>
        <w:spacing w:after="18"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неправильно выбранный скоростной режим (водители считают, что всегда успеют остановиться); </w:t>
      </w:r>
    </w:p>
    <w:p w:rsidR="001E4115" w:rsidRPr="0098702D" w:rsidRDefault="001E4115" w:rsidP="001E4115">
      <w:pPr>
        <w:spacing w:after="18"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ошибки, допущенные при торможении транспортного средства (водители не знают, как правильно осуществлять экстренное торможение); </w:t>
      </w:r>
    </w:p>
    <w:p w:rsidR="001E4115" w:rsidRPr="0098702D" w:rsidRDefault="001E4115" w:rsidP="001E4115">
      <w:pPr>
        <w:spacing w:after="0"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ошибки при наблюдении за дорогой и оценке ситуации (водители не видят пешеходов заранее либо не готовы к их появлению на дороге). </w:t>
      </w:r>
    </w:p>
    <w:p w:rsidR="001E4115" w:rsidRPr="0098702D" w:rsidRDefault="001E4115" w:rsidP="001E4115">
      <w:pPr>
        <w:spacing w:after="0" w:line="240" w:lineRule="auto"/>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 </w:t>
      </w:r>
    </w:p>
    <w:p w:rsidR="001E4115" w:rsidRPr="0098702D" w:rsidRDefault="001E4115" w:rsidP="001E4115">
      <w:pPr>
        <w:spacing w:after="0" w:line="240" w:lineRule="auto"/>
        <w:jc w:val="both"/>
        <w:rPr>
          <w:rFonts w:ascii="Times New Roman" w:eastAsia="Times New Roman" w:hAnsi="Times New Roman" w:cs="Times New Roman"/>
          <w:b/>
          <w:i/>
          <w:sz w:val="32"/>
          <w:szCs w:val="24"/>
        </w:rPr>
      </w:pPr>
      <w:r w:rsidRPr="0098702D">
        <w:rPr>
          <w:rFonts w:ascii="Times New Roman" w:eastAsia="Times New Roman" w:hAnsi="Times New Roman" w:cs="Times New Roman"/>
          <w:b/>
          <w:i/>
          <w:sz w:val="24"/>
          <w:szCs w:val="20"/>
        </w:rPr>
        <w:t xml:space="preserve">Ошибками со стороны пешеходов являются: </w:t>
      </w:r>
    </w:p>
    <w:p w:rsidR="001E4115" w:rsidRPr="0098702D" w:rsidRDefault="001E4115" w:rsidP="001E4115">
      <w:pPr>
        <w:spacing w:after="18"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неправильная оценка ситуации в отношении безопасности перехода дороги (у пешеходов нет инструментов для точного определения скорости и расстояния до автомобиля); </w:t>
      </w:r>
    </w:p>
    <w:p w:rsidR="001E4115" w:rsidRPr="0098702D" w:rsidRDefault="001E4115" w:rsidP="001E4115">
      <w:pPr>
        <w:spacing w:after="18"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ошибки в коммуникации с водителем – отсутствие навыков коммуникации с водителями в условиях взаимодействия на дороге, стремление к соперничеству и демонстрация преимущества; </w:t>
      </w:r>
    </w:p>
    <w:p w:rsidR="001E4115" w:rsidRPr="0098702D" w:rsidRDefault="001E4115" w:rsidP="001E4115">
      <w:pPr>
        <w:spacing w:after="18"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ошибки в обеспечении своей заметности для водителя на дороге (в части неиспользование или неправильное использование </w:t>
      </w:r>
      <w:proofErr w:type="spellStart"/>
      <w:r w:rsidRPr="0098702D">
        <w:rPr>
          <w:rFonts w:ascii="Times New Roman" w:eastAsia="Times New Roman" w:hAnsi="Times New Roman" w:cs="Times New Roman"/>
          <w:sz w:val="24"/>
          <w:szCs w:val="20"/>
        </w:rPr>
        <w:t>световозвращающих</w:t>
      </w:r>
      <w:proofErr w:type="spellEnd"/>
      <w:r w:rsidRPr="0098702D">
        <w:rPr>
          <w:rFonts w:ascii="Times New Roman" w:eastAsia="Times New Roman" w:hAnsi="Times New Roman" w:cs="Times New Roman"/>
          <w:sz w:val="24"/>
          <w:szCs w:val="20"/>
        </w:rPr>
        <w:t xml:space="preserve"> элементов); </w:t>
      </w:r>
    </w:p>
    <w:p w:rsidR="001E4115" w:rsidRPr="00497EDE" w:rsidRDefault="001E4115" w:rsidP="001E4115">
      <w:pPr>
        <w:spacing w:after="0" w:line="240" w:lineRule="auto"/>
        <w:ind w:hanging="360"/>
        <w:jc w:val="both"/>
        <w:rPr>
          <w:rFonts w:ascii="Times New Roman" w:eastAsia="Times New Roman" w:hAnsi="Times New Roman" w:cs="Times New Roman"/>
          <w:sz w:val="32"/>
          <w:szCs w:val="24"/>
        </w:rPr>
      </w:pPr>
      <w:r w:rsidRPr="0098702D">
        <w:rPr>
          <w:rFonts w:ascii="Times New Roman" w:eastAsia="Times New Roman" w:hAnsi="Times New Roman" w:cs="Times New Roman"/>
          <w:sz w:val="24"/>
          <w:szCs w:val="20"/>
        </w:rPr>
        <w:t></w:t>
      </w:r>
      <w:r w:rsidRPr="0098702D">
        <w:rPr>
          <w:rFonts w:ascii="Times New Roman" w:eastAsia="Times New Roman" w:hAnsi="Times New Roman" w:cs="Times New Roman"/>
          <w:sz w:val="18"/>
          <w:szCs w:val="14"/>
        </w:rPr>
        <w:t xml:space="preserve">        </w:t>
      </w:r>
      <w:r w:rsidRPr="0098702D">
        <w:rPr>
          <w:rFonts w:ascii="Times New Roman" w:eastAsia="Times New Roman" w:hAnsi="Times New Roman" w:cs="Times New Roman"/>
          <w:sz w:val="24"/>
          <w:szCs w:val="20"/>
        </w:rPr>
        <w:t xml:space="preserve">отсутствие знаний основ Правил дорожного движения (далее – ПДД), слабое знание возможностей автомобиля и другие ошибки. </w:t>
      </w: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1E4115" w:rsidRDefault="001E4115" w:rsidP="001E4115">
      <w:pPr>
        <w:pStyle w:val="Default"/>
        <w:ind w:firstLine="708"/>
        <w:jc w:val="both"/>
        <w:rPr>
          <w:szCs w:val="23"/>
        </w:rPr>
      </w:pPr>
    </w:p>
    <w:p w:rsidR="00F549CD" w:rsidRDefault="00F549CD"/>
    <w:sectPr w:rsidR="00F549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E4115"/>
    <w:rsid w:val="001E4115"/>
    <w:rsid w:val="00F54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41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Normal (Web)"/>
    <w:basedOn w:val="a"/>
    <w:uiPriority w:val="99"/>
    <w:unhideWhenUsed/>
    <w:rsid w:val="001E4115"/>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Bottom of Form"/>
    <w:basedOn w:val="a"/>
    <w:next w:val="a"/>
    <w:link w:val="z-0"/>
    <w:hidden/>
    <w:uiPriority w:val="99"/>
    <w:semiHidden/>
    <w:unhideWhenUsed/>
    <w:rsid w:val="001E41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1E411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4723</Characters>
  <Application>Microsoft Office Word</Application>
  <DocSecurity>0</DocSecurity>
  <Lines>39</Lines>
  <Paragraphs>11</Paragraphs>
  <ScaleCrop>false</ScaleCrop>
  <Company>Microsoft</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2</cp:revision>
  <dcterms:created xsi:type="dcterms:W3CDTF">2017-12-19T07:56:00Z</dcterms:created>
  <dcterms:modified xsi:type="dcterms:W3CDTF">2017-12-19T07:57:00Z</dcterms:modified>
</cp:coreProperties>
</file>